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jc w:val="center"/>
        <w:rPr>
          <w:rFonts w:ascii="Times New Roman" w:hAnsi="Times New Roman" w:cs="Times New Roman"/>
          <w:sz w:val="24"/>
          <w:szCs w:val="24"/>
        </w:rPr>
      </w:pPr>
    </w:p>
    <w:p w:rsidR="006F1354" w:rsidRPr="006F1354" w:rsidRDefault="006F1354" w:rsidP="006F1354">
      <w:pPr>
        <w:spacing w:line="480" w:lineRule="auto"/>
        <w:jc w:val="center"/>
        <w:rPr>
          <w:rFonts w:ascii="Times New Roman" w:hAnsi="Times New Roman" w:cs="Times New Roman"/>
          <w:sz w:val="24"/>
          <w:szCs w:val="24"/>
        </w:rPr>
      </w:pPr>
      <w:r w:rsidRPr="006F1354">
        <w:rPr>
          <w:rFonts w:ascii="Times New Roman" w:hAnsi="Times New Roman" w:cs="Times New Roman"/>
          <w:sz w:val="24"/>
          <w:szCs w:val="24"/>
        </w:rPr>
        <w:t>Administrative Deference and Discretion</w:t>
      </w:r>
    </w:p>
    <w:p w:rsidR="006F1354" w:rsidRPr="006F1354" w:rsidRDefault="006F1354" w:rsidP="006F1354">
      <w:pPr>
        <w:spacing w:line="480" w:lineRule="auto"/>
        <w:jc w:val="center"/>
        <w:rPr>
          <w:rFonts w:ascii="Times New Roman" w:hAnsi="Times New Roman" w:cs="Times New Roman"/>
          <w:sz w:val="24"/>
          <w:szCs w:val="24"/>
        </w:rPr>
      </w:pPr>
      <w:r w:rsidRPr="006F1354">
        <w:rPr>
          <w:rFonts w:ascii="Times New Roman" w:hAnsi="Times New Roman" w:cs="Times New Roman"/>
          <w:sz w:val="24"/>
          <w:szCs w:val="24"/>
        </w:rPr>
        <w:t>Institution</w:t>
      </w:r>
    </w:p>
    <w:p w:rsidR="006F1354" w:rsidRPr="006F1354" w:rsidRDefault="006F1354" w:rsidP="006F1354">
      <w:pPr>
        <w:spacing w:line="480" w:lineRule="auto"/>
        <w:jc w:val="center"/>
        <w:rPr>
          <w:rFonts w:ascii="Times New Roman" w:hAnsi="Times New Roman" w:cs="Times New Roman"/>
          <w:sz w:val="24"/>
          <w:szCs w:val="24"/>
        </w:rPr>
      </w:pPr>
      <w:r w:rsidRPr="006F1354">
        <w:rPr>
          <w:rFonts w:ascii="Times New Roman" w:hAnsi="Times New Roman" w:cs="Times New Roman"/>
          <w:sz w:val="24"/>
          <w:szCs w:val="24"/>
        </w:rPr>
        <w:t>Course</w:t>
      </w:r>
    </w:p>
    <w:p w:rsidR="006F1354" w:rsidRPr="006F1354" w:rsidRDefault="006F1354" w:rsidP="006F1354">
      <w:pPr>
        <w:spacing w:line="480" w:lineRule="auto"/>
        <w:jc w:val="center"/>
        <w:rPr>
          <w:rFonts w:ascii="Times New Roman" w:hAnsi="Times New Roman" w:cs="Times New Roman"/>
          <w:sz w:val="24"/>
          <w:szCs w:val="24"/>
        </w:rPr>
      </w:pPr>
      <w:r w:rsidRPr="006F1354">
        <w:rPr>
          <w:rFonts w:ascii="Times New Roman" w:hAnsi="Times New Roman" w:cs="Times New Roman"/>
          <w:sz w:val="24"/>
          <w:szCs w:val="24"/>
        </w:rPr>
        <w:t>Name</w:t>
      </w: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lastRenderedPageBreak/>
        <w:t xml:space="preserve">The Chevron deference refers to a principle of the administrative law that requires courts to give way the interpretations of the acts made by the state agencies that are charged with enforcing them unless the interpretations are not reasonable. However, reasonableness in part turns on if the acts unambiguously address the issue at hand. If it turns out that the acts unambiguously addresses the issue, then the unambiguous meaning is left to stay in control. On the other hand, if the acts or laws are ambiguous, the law court asks if the agency's interpretations of the ambiguous provision had been based on an acceptable construction of the act (Chevron U.S.A., 1984). It is argued that under Chevron, courts ought to consider an agency's interpretation of an ambiguous law even if the interpretations appear to delimit the scope of the jurisdiction of the agency. </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Some rationales have been offered by different commentators about the Chevron opinion. The first bunch of commentators has treated Chevron as a mere default rule that has been created which can be legislated by the Congress. Others argue that the Chevron as an attempt to reconstruct congressional intent and others argue that the separation-of-powers doctrine requires Chevron deference to interpretations by the agency. Before any agency comes up to resolve an issue, it ought to have formulated a well-thought process on how it will go about the process. Over time, Chevron has been thought to have improved upon the previous doctrine in that the Congress is aware of the ambiguity it creates (Chevron U.S.A., 1984). </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The Congress can create ambiguity either intentionally or unintentionally as it strives to resolve issues within its bounds of permissible interpretations. According to Chevron, separation of powers needs the deference of doctrine. Commentators have always argued supporting Chevron doctrine since it resolves the ambiguities which arise in Chevron disputes. Policy judgments are found in the domain of political branches where democratically officials who are </w:t>
      </w:r>
      <w:r w:rsidRPr="006F1354">
        <w:rPr>
          <w:rFonts w:ascii="Times New Roman" w:hAnsi="Times New Roman" w:cs="Times New Roman"/>
          <w:sz w:val="24"/>
          <w:szCs w:val="24"/>
        </w:rPr>
        <w:lastRenderedPageBreak/>
        <w:t xml:space="preserve">accountable for their actions while at work stays in course. It gives such officials to interpret the policies so that they suit a particular case. Therefore, Chevron champions for separation of powers through transferring interpretive power over ambiguous acts to agencies, which are democratically accountable from the courts of the country (Chevron U.S.A., 1984).  </w:t>
      </w:r>
    </w:p>
    <w:p w:rsidR="006F1354" w:rsidRPr="006F1354" w:rsidRDefault="006F1354" w:rsidP="006F1354">
      <w:pPr>
        <w:spacing w:line="480" w:lineRule="auto"/>
        <w:rPr>
          <w:rFonts w:ascii="Times New Roman" w:hAnsi="Times New Roman" w:cs="Times New Roman"/>
          <w:b/>
          <w:sz w:val="24"/>
          <w:szCs w:val="24"/>
        </w:rPr>
      </w:pPr>
      <w:r w:rsidRPr="006F1354">
        <w:rPr>
          <w:rFonts w:ascii="Times New Roman" w:hAnsi="Times New Roman" w:cs="Times New Roman"/>
          <w:b/>
          <w:sz w:val="24"/>
          <w:szCs w:val="24"/>
        </w:rPr>
        <w:t>The Elian Gonzalez Case</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Elian Gonzalez is a six-year-old American most famous refugee. He got to the US while clinging to an inner-tube long after his mother and other several Cubans had drowned after the boat they were sailing in foundered. He happened to be having a great uncle residing in Miami who later on was granted temporary custody of the boy. However, the US government ruled that Elian Gonzalez must be taken back to his father in Cuba (Dillman, 2002). He was taken back to his father, now in the US. The supreme court of the United States of America ruled that the boy cannot be forced to stay in the country despite the vigorous efforts by the Miami-based family members to keep him there. The father and the Uncle failed to come to an agreement regarding who was to keep the boy. It is after this that the US Immigration agency forcefully raided the house of the Miami-based uncle and took Gonzalez by force and took him back to his father on 22nd April. Elian has reunited once again with his father, and the boy appeared to have been happy with the move.   </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In the above case about Elian Gonzalez, the Chevron doctrine took effect after the immigration officers decided to take back Elian to his father. The immigration agency has officials who are supposed to come up with decisions that are not ambiguous. The idea of taking Elian back to his father was a good idea and was also seconded even by the Attorney. Eric Holder, the deputy attorney general, asserted that "I believe that reuniting Elian with his father is </w:t>
      </w:r>
      <w:r w:rsidRPr="006F1354">
        <w:rPr>
          <w:rFonts w:ascii="Times New Roman" w:hAnsi="Times New Roman" w:cs="Times New Roman"/>
          <w:sz w:val="24"/>
          <w:szCs w:val="24"/>
        </w:rPr>
        <w:lastRenderedPageBreak/>
        <w:t>not only a matter of federal law. It is not a matter of immigration law, but it is simply the right thing to do (Dillman, 2002)." Another department that seconded the idea of taking Elian back to his father was the US Immigration and Naturalization Service (INS)</w:t>
      </w:r>
      <w:proofErr w:type="gramStart"/>
      <w:r w:rsidRPr="006F1354">
        <w:rPr>
          <w:rFonts w:ascii="Times New Roman" w:hAnsi="Times New Roman" w:cs="Times New Roman"/>
          <w:sz w:val="24"/>
          <w:szCs w:val="24"/>
        </w:rPr>
        <w:t>,</w:t>
      </w:r>
      <w:proofErr w:type="gramEnd"/>
      <w:r w:rsidRPr="006F1354">
        <w:rPr>
          <w:rFonts w:ascii="Times New Roman" w:hAnsi="Times New Roman" w:cs="Times New Roman"/>
          <w:sz w:val="24"/>
          <w:szCs w:val="24"/>
        </w:rPr>
        <w:t xml:space="preserve"> they argued that the boy had a close and continuous relationship with the father, Juan Miguel Gonzales, even though both parents had separated. </w:t>
      </w:r>
    </w:p>
    <w:p w:rsidR="006F1354" w:rsidRPr="006F1354" w:rsidRDefault="006F1354" w:rsidP="006F1354">
      <w:pPr>
        <w:spacing w:line="480" w:lineRule="auto"/>
        <w:rPr>
          <w:rFonts w:ascii="Times New Roman" w:hAnsi="Times New Roman" w:cs="Times New Roman"/>
          <w:b/>
          <w:sz w:val="24"/>
          <w:szCs w:val="24"/>
        </w:rPr>
      </w:pPr>
      <w:r w:rsidRPr="006F1354">
        <w:rPr>
          <w:rFonts w:ascii="Times New Roman" w:hAnsi="Times New Roman" w:cs="Times New Roman"/>
          <w:b/>
          <w:sz w:val="24"/>
          <w:szCs w:val="24"/>
        </w:rPr>
        <w:t>Benefits and Detriments of Agency Discretion</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Administrative discretion cannot be exercised by workers in a bureaucracy. Workers who operate in the bureaucracy have administrative discretion if they can use their professional judgment in a certain situation. They may lack the administrative discretion if they are supposed to be guided by certain pre-determined or pre-set rules to the letter. </w:t>
      </w:r>
    </w:p>
    <w:p w:rsidR="006F1354" w:rsidRPr="006F1354" w:rsidRDefault="006F1354" w:rsidP="006F1354">
      <w:pPr>
        <w:spacing w:line="480" w:lineRule="auto"/>
        <w:rPr>
          <w:rFonts w:ascii="Times New Roman" w:hAnsi="Times New Roman" w:cs="Times New Roman"/>
          <w:sz w:val="24"/>
          <w:szCs w:val="24"/>
        </w:rPr>
      </w:pPr>
      <w:r w:rsidRPr="006F1354">
        <w:rPr>
          <w:rFonts w:ascii="Times New Roman" w:hAnsi="Times New Roman" w:cs="Times New Roman"/>
          <w:sz w:val="24"/>
          <w:szCs w:val="24"/>
        </w:rPr>
        <w:t xml:space="preserve">Administrative discretion is well-known to allow for outcomes which are </w:t>
      </w:r>
      <w:proofErr w:type="spellStart"/>
      <w:r w:rsidRPr="006F1354">
        <w:rPr>
          <w:rFonts w:ascii="Times New Roman" w:hAnsi="Times New Roman" w:cs="Times New Roman"/>
          <w:sz w:val="24"/>
          <w:szCs w:val="24"/>
        </w:rPr>
        <w:t>juster</w:t>
      </w:r>
      <w:proofErr w:type="spellEnd"/>
      <w:r w:rsidRPr="006F1354">
        <w:rPr>
          <w:rFonts w:ascii="Times New Roman" w:hAnsi="Times New Roman" w:cs="Times New Roman"/>
          <w:sz w:val="24"/>
          <w:szCs w:val="24"/>
        </w:rPr>
        <w:t xml:space="preserve"> and more humane. For instance, in the case concerning Elian, the immigration officers appeared to have exercised their administrative discretion by choosing to snatch Elian from the Miami-based great uncle. The boy had been happy with the father, and he appeared to have kept checking on Elian even though he was divorced with Elian's mother. Elian was in custody of the mother up to the occurrence of the untimely death in the sea accident as they were trying to enter the US.  The actions taken by the immigration officers appeared to be </w:t>
      </w:r>
      <w:proofErr w:type="spellStart"/>
      <w:r w:rsidRPr="006F1354">
        <w:rPr>
          <w:rFonts w:ascii="Times New Roman" w:hAnsi="Times New Roman" w:cs="Times New Roman"/>
          <w:sz w:val="24"/>
          <w:szCs w:val="24"/>
        </w:rPr>
        <w:t>juster</w:t>
      </w:r>
      <w:proofErr w:type="spellEnd"/>
      <w:r w:rsidRPr="006F1354">
        <w:rPr>
          <w:rFonts w:ascii="Times New Roman" w:hAnsi="Times New Roman" w:cs="Times New Roman"/>
          <w:sz w:val="24"/>
          <w:szCs w:val="24"/>
        </w:rPr>
        <w:t xml:space="preserve"> and more good outcome which takes all factors into account rather than blindly applying the rules.</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The problem with administrative discretion is that it can lead to abuse. Taking the example of the Elian Gonzalez case, assuming that the Miami-based relatives had some friends in the Immigration authority of the US and were granted the permission to keep the boy, then this could have been wrong. Elian's father could have been denied the right to keep the son despite </w:t>
      </w:r>
      <w:r w:rsidRPr="006F1354">
        <w:rPr>
          <w:rFonts w:ascii="Times New Roman" w:hAnsi="Times New Roman" w:cs="Times New Roman"/>
          <w:sz w:val="24"/>
          <w:szCs w:val="24"/>
        </w:rPr>
        <w:lastRenderedPageBreak/>
        <w:t xml:space="preserve">the efforts that he made when he pleaded with the Immigration authority of the US to reject the application of custody of Elian by his Miami-based relatives. Thus, administrative discretion can make more humane and just </w:t>
      </w:r>
      <w:proofErr w:type="gramStart"/>
      <w:r w:rsidRPr="006F1354">
        <w:rPr>
          <w:rFonts w:ascii="Times New Roman" w:hAnsi="Times New Roman" w:cs="Times New Roman"/>
          <w:sz w:val="24"/>
          <w:szCs w:val="24"/>
        </w:rPr>
        <w:t>decisions,</w:t>
      </w:r>
      <w:proofErr w:type="gramEnd"/>
      <w:r w:rsidRPr="006F1354">
        <w:rPr>
          <w:rFonts w:ascii="Times New Roman" w:hAnsi="Times New Roman" w:cs="Times New Roman"/>
          <w:sz w:val="24"/>
          <w:szCs w:val="24"/>
        </w:rPr>
        <w:t xml:space="preserve"> however, it can also open the door to abuse of power. For instance, in the case of Elian, the immigration officials could have proceeded with the application that had been made by the Miami-based relatives and hence an abuse of power.</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In conclusion, the Chevron deference refers to a principle of the administrative law that requires courts to give way the interpretations of the acts made by the state agencies that are charged with enforcing them, unless the interpretations are not reasonable. However, reasonableness in part turns on if the acts unambiguously address the issue at hand. Some rationales have been offered by different commentators about the Chevron opinion (Chevron U.S.A., 1984). The first bunch of commentators has treated Chevron as a mere default rule that has been created which can be legislated by the Congress. Others argue that the Chevron as an attempt to reconstruct congressional intent and others argue that the separation-of-powers doctrine requires Chevron deference to interpretations by the agency. Before any agency comes up to resolve an issue, it ought to have formulated a well-thought process on how it will go about the process. Over time, Chevron has been thought to have improved upon the previous doctrine in that the Congress is aware of the ambiguity it creates (Chevron U.S.A., 1984). Elian Gonzalez is a six-year-old American most famous refugee. He got to the US while clinging to an inner-tube long after his mother and other several Cubans had drowned after the boat they were sailing in foundered. He happened to be having a great uncle residing in Miami who later on was granted temporary custody of the boy. However, the US government ruled that Elian Gonzalez must be taken back to his father in Cuba. He was taken back to his father, now in the US (Dillman, 2002). The supreme court of the United States of America ruled that the boy cannot be </w:t>
      </w:r>
      <w:r w:rsidRPr="006F1354">
        <w:rPr>
          <w:rFonts w:ascii="Times New Roman" w:hAnsi="Times New Roman" w:cs="Times New Roman"/>
          <w:sz w:val="24"/>
          <w:szCs w:val="24"/>
        </w:rPr>
        <w:lastRenderedPageBreak/>
        <w:t xml:space="preserve">forced to stay in the country despite the vigorous efforts by the Miami-based family members to keep him there. Administrative discretion cannot be exercised by workers in a bureaucracy. Workers who operate in the bureaucracy have administrative discretion if they can use their professional judgment in a certain situation. Administrative discretion is well-known to allow for outcomes which are </w:t>
      </w:r>
      <w:proofErr w:type="spellStart"/>
      <w:r w:rsidRPr="006F1354">
        <w:rPr>
          <w:rFonts w:ascii="Times New Roman" w:hAnsi="Times New Roman" w:cs="Times New Roman"/>
          <w:sz w:val="24"/>
          <w:szCs w:val="24"/>
        </w:rPr>
        <w:t>juster</w:t>
      </w:r>
      <w:proofErr w:type="spellEnd"/>
      <w:r w:rsidRPr="006F1354">
        <w:rPr>
          <w:rFonts w:ascii="Times New Roman" w:hAnsi="Times New Roman" w:cs="Times New Roman"/>
          <w:sz w:val="24"/>
          <w:szCs w:val="24"/>
        </w:rPr>
        <w:t xml:space="preserve"> and more humane. For instance, in the case concerning Elian, the immigration officers appeared to have exercised their administrative discretion by choosing to snatch Elian from the Miami-based great uncle. The boy had been happy with the father, and he appeared to have kept checking on Elian even though he was divorced with Elian's mother. The problem with administrative discretion is that it can lead to abuse. Taking the example of the Elian Gonzalez case, assuming that the Miami-based relatives had some friends in the Immigration authority of the US and were granted the permission to keep the boy, then this could have been wrong. Elian's father could have been denied the right to keep the son despite the efforts that he made when he pleaded with the Immigration authority of the US to reject the application of custody of Elian by his Miami-based relatives.</w:t>
      </w: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jc w:val="center"/>
        <w:rPr>
          <w:rFonts w:ascii="Times New Roman" w:hAnsi="Times New Roman" w:cs="Times New Roman"/>
          <w:b/>
          <w:sz w:val="24"/>
          <w:szCs w:val="24"/>
        </w:rPr>
      </w:pPr>
      <w:r w:rsidRPr="006F1354">
        <w:rPr>
          <w:rFonts w:ascii="Times New Roman" w:hAnsi="Times New Roman" w:cs="Times New Roman"/>
          <w:b/>
          <w:sz w:val="24"/>
          <w:szCs w:val="24"/>
        </w:rPr>
        <w:lastRenderedPageBreak/>
        <w:t>References</w:t>
      </w:r>
    </w:p>
    <w:p w:rsidR="006F1354" w:rsidRPr="006F1354" w:rsidRDefault="006F1354" w:rsidP="006F1354">
      <w:pPr>
        <w:spacing w:line="360" w:lineRule="auto"/>
        <w:ind w:left="720" w:hanging="720"/>
        <w:rPr>
          <w:rFonts w:ascii="Times New Roman" w:hAnsi="Times New Roman" w:cs="Times New Roman"/>
          <w:sz w:val="24"/>
          <w:szCs w:val="24"/>
        </w:rPr>
      </w:pPr>
      <w:r w:rsidRPr="006F1354">
        <w:rPr>
          <w:rFonts w:ascii="Times New Roman" w:hAnsi="Times New Roman" w:cs="Times New Roman"/>
          <w:sz w:val="24"/>
          <w:szCs w:val="24"/>
        </w:rPr>
        <w:t>Chevron U.S.A., Inc. v. Natural Resources Defense Council, Inc., 467 U.S. 837 (1984).</w:t>
      </w:r>
    </w:p>
    <w:p w:rsidR="006F1354" w:rsidRPr="006F1354" w:rsidRDefault="006F1354" w:rsidP="006F1354">
      <w:pPr>
        <w:spacing w:line="360" w:lineRule="auto"/>
        <w:ind w:left="720" w:hanging="720"/>
        <w:rPr>
          <w:rFonts w:ascii="Times New Roman" w:hAnsi="Times New Roman" w:cs="Times New Roman"/>
          <w:sz w:val="24"/>
          <w:szCs w:val="24"/>
        </w:rPr>
      </w:pPr>
      <w:r w:rsidRPr="006F1354">
        <w:rPr>
          <w:rFonts w:ascii="Times New Roman" w:hAnsi="Times New Roman" w:cs="Times New Roman"/>
          <w:sz w:val="24"/>
          <w:szCs w:val="24"/>
        </w:rPr>
        <w:t>The Paradox of Discretion and the Case of Elian Gonzalez Read "The Paradox of Discretion and the Case of Elian Gonzalez," by Dillman, from Public Organization Review (2002).</w:t>
      </w:r>
    </w:p>
    <w:sectPr w:rsidR="006F1354" w:rsidRPr="006F1354" w:rsidSect="00DC38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20BA" w:rsidRDefault="008220BA" w:rsidP="00DC388C">
      <w:pPr>
        <w:spacing w:after="0" w:line="240" w:lineRule="auto"/>
      </w:pPr>
      <w:r>
        <w:separator/>
      </w:r>
    </w:p>
  </w:endnote>
  <w:endnote w:type="continuationSeparator" w:id="0">
    <w:p w:rsidR="008220BA" w:rsidRDefault="008220BA" w:rsidP="00DC38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20BA" w:rsidRDefault="008220BA" w:rsidP="00DC388C">
      <w:pPr>
        <w:spacing w:after="0" w:line="240" w:lineRule="auto"/>
      </w:pPr>
      <w:r>
        <w:separator/>
      </w:r>
    </w:p>
  </w:footnote>
  <w:footnote w:type="continuationSeparator" w:id="0">
    <w:p w:rsidR="008220BA" w:rsidRDefault="008220BA" w:rsidP="00DC38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A0" w:rsidRDefault="00526FA0" w:rsidP="00526FA0">
    <w:pPr>
      <w:pStyle w:val="Header"/>
      <w:spacing w:line="480" w:lineRule="auto"/>
      <w:jc w:val="right"/>
    </w:pPr>
    <w:r w:rsidRPr="00526FA0">
      <w:rPr>
        <w:rFonts w:ascii="Times New Roman" w:hAnsi="Times New Roman" w:cs="Times New Roman"/>
        <w:sz w:val="24"/>
      </w:rPr>
      <w:t>AMINISTRATIVE DEFERENCE AND DISCRETION</w:t>
    </w:r>
    <w:r w:rsidR="007A480D">
      <w:rPr>
        <w:rFonts w:ascii="Times New Roman" w:hAnsi="Times New Roman" w:cs="Times New Roman"/>
        <w:sz w:val="24"/>
      </w:rPr>
      <w:tab/>
    </w:r>
    <w:r w:rsidRPr="00526FA0">
      <w:rPr>
        <w:rFonts w:ascii="Times New Roman" w:hAnsi="Times New Roman" w:cs="Times New Roman"/>
        <w:sz w:val="24"/>
      </w:rPr>
      <w:t xml:space="preserve"> </w:t>
    </w:r>
    <w:sdt>
      <w:sdtPr>
        <w:rPr>
          <w:rFonts w:ascii="Times New Roman" w:hAnsi="Times New Roman" w:cs="Times New Roman"/>
          <w:sz w:val="24"/>
        </w:rPr>
        <w:id w:val="163524795"/>
        <w:docPartObj>
          <w:docPartGallery w:val="Page Numbers (Top of Page)"/>
          <w:docPartUnique/>
        </w:docPartObj>
      </w:sdtPr>
      <w:sdtEndPr>
        <w:rPr>
          <w:rFonts w:asciiTheme="minorHAnsi" w:hAnsiTheme="minorHAnsi" w:cstheme="minorBidi"/>
          <w:noProof/>
          <w:sz w:val="22"/>
        </w:rPr>
      </w:sdtEndPr>
      <w:sdtContent>
        <w:r w:rsidR="002D65CC" w:rsidRPr="00526FA0">
          <w:rPr>
            <w:rFonts w:ascii="Times New Roman" w:hAnsi="Times New Roman" w:cs="Times New Roman"/>
            <w:sz w:val="24"/>
          </w:rPr>
          <w:fldChar w:fldCharType="begin"/>
        </w:r>
        <w:r w:rsidRPr="00526FA0">
          <w:rPr>
            <w:rFonts w:ascii="Times New Roman" w:hAnsi="Times New Roman" w:cs="Times New Roman"/>
            <w:sz w:val="24"/>
          </w:rPr>
          <w:instrText xml:space="preserve"> PAGE   \* MERGEFORMAT </w:instrText>
        </w:r>
        <w:r w:rsidR="002D65CC" w:rsidRPr="00526FA0">
          <w:rPr>
            <w:rFonts w:ascii="Times New Roman" w:hAnsi="Times New Roman" w:cs="Times New Roman"/>
            <w:sz w:val="24"/>
          </w:rPr>
          <w:fldChar w:fldCharType="separate"/>
        </w:r>
        <w:r w:rsidR="006F1354">
          <w:rPr>
            <w:rFonts w:ascii="Times New Roman" w:hAnsi="Times New Roman" w:cs="Times New Roman"/>
            <w:noProof/>
            <w:sz w:val="24"/>
          </w:rPr>
          <w:t>7</w:t>
        </w:r>
        <w:r w:rsidR="002D65CC" w:rsidRPr="00526FA0">
          <w:rPr>
            <w:rFonts w:ascii="Times New Roman" w:hAnsi="Times New Roman" w:cs="Times New Roman"/>
            <w:noProof/>
            <w:sz w:val="24"/>
          </w:rPr>
          <w:fldChar w:fldCharType="end"/>
        </w:r>
      </w:sdtContent>
    </w:sdt>
  </w:p>
  <w:p w:rsidR="00173B43" w:rsidRDefault="00173B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A2" w:rsidRPr="006C41A2" w:rsidRDefault="006C41A2" w:rsidP="006C41A2">
    <w:pPr>
      <w:pStyle w:val="Header"/>
      <w:spacing w:line="480" w:lineRule="auto"/>
      <w:jc w:val="right"/>
      <w:rPr>
        <w:rFonts w:ascii="Times New Roman" w:hAnsi="Times New Roman" w:cs="Times New Roman"/>
        <w:sz w:val="24"/>
      </w:rPr>
    </w:pPr>
    <w:r w:rsidRPr="006C41A2">
      <w:rPr>
        <w:rFonts w:ascii="Times New Roman" w:hAnsi="Times New Roman" w:cs="Times New Roman"/>
        <w:sz w:val="24"/>
      </w:rPr>
      <w:t>Running Head: ADMIN</w:t>
    </w:r>
    <w:r w:rsidR="00F67B1F">
      <w:rPr>
        <w:rFonts w:ascii="Times New Roman" w:hAnsi="Times New Roman" w:cs="Times New Roman"/>
        <w:sz w:val="24"/>
      </w:rPr>
      <w:t>I</w:t>
    </w:r>
    <w:r w:rsidRPr="006C41A2">
      <w:rPr>
        <w:rFonts w:ascii="Times New Roman" w:hAnsi="Times New Roman" w:cs="Times New Roman"/>
        <w:sz w:val="24"/>
      </w:rPr>
      <w:t>STRATIVE DEFERENCE AND DISCRETION</w:t>
    </w:r>
    <w:r>
      <w:rPr>
        <w:rFonts w:ascii="Times New Roman" w:hAnsi="Times New Roman" w:cs="Times New Roman"/>
        <w:sz w:val="24"/>
      </w:rPr>
      <w:tab/>
    </w:r>
    <w:r w:rsidRPr="006C41A2">
      <w:rPr>
        <w:rFonts w:ascii="Times New Roman" w:hAnsi="Times New Roman" w:cs="Times New Roman"/>
        <w:sz w:val="24"/>
      </w:rPr>
      <w:t xml:space="preserve"> </w:t>
    </w:r>
    <w:sdt>
      <w:sdtPr>
        <w:rPr>
          <w:rFonts w:ascii="Times New Roman" w:hAnsi="Times New Roman" w:cs="Times New Roman"/>
          <w:sz w:val="24"/>
        </w:rPr>
        <w:id w:val="-1369059970"/>
        <w:docPartObj>
          <w:docPartGallery w:val="Page Numbers (Top of Page)"/>
          <w:docPartUnique/>
        </w:docPartObj>
      </w:sdtPr>
      <w:sdtEndPr>
        <w:rPr>
          <w:noProof/>
        </w:rPr>
      </w:sdtEndPr>
      <w:sdtContent>
        <w:r w:rsidR="002D65CC" w:rsidRPr="006C41A2">
          <w:rPr>
            <w:rFonts w:ascii="Times New Roman" w:hAnsi="Times New Roman" w:cs="Times New Roman"/>
            <w:sz w:val="24"/>
          </w:rPr>
          <w:fldChar w:fldCharType="begin"/>
        </w:r>
        <w:r w:rsidRPr="006C41A2">
          <w:rPr>
            <w:rFonts w:ascii="Times New Roman" w:hAnsi="Times New Roman" w:cs="Times New Roman"/>
            <w:sz w:val="24"/>
          </w:rPr>
          <w:instrText xml:space="preserve"> PAGE   \* MERGEFORMAT </w:instrText>
        </w:r>
        <w:r w:rsidR="002D65CC" w:rsidRPr="006C41A2">
          <w:rPr>
            <w:rFonts w:ascii="Times New Roman" w:hAnsi="Times New Roman" w:cs="Times New Roman"/>
            <w:sz w:val="24"/>
          </w:rPr>
          <w:fldChar w:fldCharType="separate"/>
        </w:r>
        <w:r w:rsidR="006F1354">
          <w:rPr>
            <w:rFonts w:ascii="Times New Roman" w:hAnsi="Times New Roman" w:cs="Times New Roman"/>
            <w:noProof/>
            <w:sz w:val="24"/>
          </w:rPr>
          <w:t>1</w:t>
        </w:r>
        <w:r w:rsidR="002D65CC" w:rsidRPr="006C41A2">
          <w:rPr>
            <w:rFonts w:ascii="Times New Roman" w:hAnsi="Times New Roman" w:cs="Times New Roman"/>
            <w:noProof/>
            <w:sz w:val="24"/>
          </w:rPr>
          <w:fldChar w:fldCharType="end"/>
        </w:r>
      </w:sdtContent>
    </w:sdt>
  </w:p>
  <w:p w:rsidR="00DC388C" w:rsidRDefault="00DC38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F7C6B"/>
    <w:rsid w:val="0005051E"/>
    <w:rsid w:val="00052596"/>
    <w:rsid w:val="000839C2"/>
    <w:rsid w:val="00086BDE"/>
    <w:rsid w:val="000A4A77"/>
    <w:rsid w:val="000D1D16"/>
    <w:rsid w:val="001165F3"/>
    <w:rsid w:val="00122994"/>
    <w:rsid w:val="00131D46"/>
    <w:rsid w:val="00137F2C"/>
    <w:rsid w:val="00144D63"/>
    <w:rsid w:val="00156077"/>
    <w:rsid w:val="001619E7"/>
    <w:rsid w:val="001640DF"/>
    <w:rsid w:val="00173B43"/>
    <w:rsid w:val="00177011"/>
    <w:rsid w:val="00177081"/>
    <w:rsid w:val="00180407"/>
    <w:rsid w:val="001C7811"/>
    <w:rsid w:val="001D0CC6"/>
    <w:rsid w:val="001D3888"/>
    <w:rsid w:val="001E76FA"/>
    <w:rsid w:val="001F7318"/>
    <w:rsid w:val="00263390"/>
    <w:rsid w:val="002668A3"/>
    <w:rsid w:val="00270781"/>
    <w:rsid w:val="002712C7"/>
    <w:rsid w:val="002B01FE"/>
    <w:rsid w:val="002C7FDE"/>
    <w:rsid w:val="002D65CC"/>
    <w:rsid w:val="00303A14"/>
    <w:rsid w:val="00303C91"/>
    <w:rsid w:val="003322E1"/>
    <w:rsid w:val="00353B2F"/>
    <w:rsid w:val="00366120"/>
    <w:rsid w:val="00380F35"/>
    <w:rsid w:val="003D3549"/>
    <w:rsid w:val="003E3D6C"/>
    <w:rsid w:val="003F13FB"/>
    <w:rsid w:val="003F5220"/>
    <w:rsid w:val="003F53B1"/>
    <w:rsid w:val="004010DA"/>
    <w:rsid w:val="00465138"/>
    <w:rsid w:val="0047319C"/>
    <w:rsid w:val="004830E4"/>
    <w:rsid w:val="00486E91"/>
    <w:rsid w:val="004A4281"/>
    <w:rsid w:val="004B4418"/>
    <w:rsid w:val="004E6428"/>
    <w:rsid w:val="004F22F5"/>
    <w:rsid w:val="0050395E"/>
    <w:rsid w:val="0052179B"/>
    <w:rsid w:val="00526FA0"/>
    <w:rsid w:val="00527FBE"/>
    <w:rsid w:val="0054162B"/>
    <w:rsid w:val="00541E6C"/>
    <w:rsid w:val="0054713C"/>
    <w:rsid w:val="00575C4A"/>
    <w:rsid w:val="00600B3F"/>
    <w:rsid w:val="00604CA9"/>
    <w:rsid w:val="006072E9"/>
    <w:rsid w:val="006111F5"/>
    <w:rsid w:val="006250CB"/>
    <w:rsid w:val="006303F8"/>
    <w:rsid w:val="00662DA1"/>
    <w:rsid w:val="00666CF2"/>
    <w:rsid w:val="006A36DB"/>
    <w:rsid w:val="006A4357"/>
    <w:rsid w:val="006A4647"/>
    <w:rsid w:val="006B200B"/>
    <w:rsid w:val="006C41A2"/>
    <w:rsid w:val="006F1354"/>
    <w:rsid w:val="007005C3"/>
    <w:rsid w:val="00711487"/>
    <w:rsid w:val="007476AE"/>
    <w:rsid w:val="007A480D"/>
    <w:rsid w:val="007E5113"/>
    <w:rsid w:val="007E600A"/>
    <w:rsid w:val="007E6B93"/>
    <w:rsid w:val="007F69A1"/>
    <w:rsid w:val="00806268"/>
    <w:rsid w:val="0081458F"/>
    <w:rsid w:val="008220BA"/>
    <w:rsid w:val="0082402F"/>
    <w:rsid w:val="008251F4"/>
    <w:rsid w:val="00830406"/>
    <w:rsid w:val="00832B94"/>
    <w:rsid w:val="00855B8B"/>
    <w:rsid w:val="00867B89"/>
    <w:rsid w:val="0087087D"/>
    <w:rsid w:val="00887006"/>
    <w:rsid w:val="008B1ECB"/>
    <w:rsid w:val="008B3EB2"/>
    <w:rsid w:val="008B6B3D"/>
    <w:rsid w:val="00922880"/>
    <w:rsid w:val="0095365F"/>
    <w:rsid w:val="009654F1"/>
    <w:rsid w:val="00977646"/>
    <w:rsid w:val="00991876"/>
    <w:rsid w:val="009A0521"/>
    <w:rsid w:val="009A6397"/>
    <w:rsid w:val="009C1D45"/>
    <w:rsid w:val="009F449D"/>
    <w:rsid w:val="00A066DA"/>
    <w:rsid w:val="00A135B5"/>
    <w:rsid w:val="00A51F4B"/>
    <w:rsid w:val="00A546DB"/>
    <w:rsid w:val="00A807BF"/>
    <w:rsid w:val="00A81AAC"/>
    <w:rsid w:val="00AA44D2"/>
    <w:rsid w:val="00AA53DA"/>
    <w:rsid w:val="00AC293D"/>
    <w:rsid w:val="00AC4BAC"/>
    <w:rsid w:val="00AD0F5F"/>
    <w:rsid w:val="00AD678C"/>
    <w:rsid w:val="00AF6CAB"/>
    <w:rsid w:val="00B110D1"/>
    <w:rsid w:val="00B355E9"/>
    <w:rsid w:val="00B430BB"/>
    <w:rsid w:val="00B52030"/>
    <w:rsid w:val="00B66144"/>
    <w:rsid w:val="00B66DE6"/>
    <w:rsid w:val="00BB1AA2"/>
    <w:rsid w:val="00BE1C07"/>
    <w:rsid w:val="00C06947"/>
    <w:rsid w:val="00C21EC6"/>
    <w:rsid w:val="00C26CA2"/>
    <w:rsid w:val="00C40833"/>
    <w:rsid w:val="00C508BB"/>
    <w:rsid w:val="00C51ECE"/>
    <w:rsid w:val="00C60287"/>
    <w:rsid w:val="00C862E0"/>
    <w:rsid w:val="00C9520C"/>
    <w:rsid w:val="00CC3E56"/>
    <w:rsid w:val="00CF664A"/>
    <w:rsid w:val="00CF7C6B"/>
    <w:rsid w:val="00D00746"/>
    <w:rsid w:val="00D013CB"/>
    <w:rsid w:val="00D03340"/>
    <w:rsid w:val="00D3087A"/>
    <w:rsid w:val="00D4228B"/>
    <w:rsid w:val="00D465A6"/>
    <w:rsid w:val="00D542A2"/>
    <w:rsid w:val="00D546C1"/>
    <w:rsid w:val="00D560C5"/>
    <w:rsid w:val="00D57B05"/>
    <w:rsid w:val="00D67886"/>
    <w:rsid w:val="00D728CF"/>
    <w:rsid w:val="00D853D4"/>
    <w:rsid w:val="00DA6875"/>
    <w:rsid w:val="00DC388C"/>
    <w:rsid w:val="00DD00F3"/>
    <w:rsid w:val="00DF31B3"/>
    <w:rsid w:val="00E014C2"/>
    <w:rsid w:val="00E14535"/>
    <w:rsid w:val="00E1522A"/>
    <w:rsid w:val="00E238AD"/>
    <w:rsid w:val="00E4196C"/>
    <w:rsid w:val="00E42093"/>
    <w:rsid w:val="00E906EB"/>
    <w:rsid w:val="00EA28AE"/>
    <w:rsid w:val="00ED474B"/>
    <w:rsid w:val="00EE5878"/>
    <w:rsid w:val="00F0020E"/>
    <w:rsid w:val="00F0782D"/>
    <w:rsid w:val="00F154A0"/>
    <w:rsid w:val="00F23B64"/>
    <w:rsid w:val="00F276A7"/>
    <w:rsid w:val="00F30D2A"/>
    <w:rsid w:val="00F47E96"/>
    <w:rsid w:val="00F67B1F"/>
    <w:rsid w:val="00FA1787"/>
    <w:rsid w:val="00FA2596"/>
    <w:rsid w:val="00FB628C"/>
    <w:rsid w:val="00FC1950"/>
    <w:rsid w:val="00FE3597"/>
    <w:rsid w:val="00FE6A1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5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88C"/>
  </w:style>
  <w:style w:type="paragraph" w:styleId="Footer">
    <w:name w:val="footer"/>
    <w:basedOn w:val="Normal"/>
    <w:link w:val="FooterChar"/>
    <w:uiPriority w:val="99"/>
    <w:unhideWhenUsed/>
    <w:rsid w:val="00DC3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88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7</Pages>
  <Words>1435</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2018-09-12T15:01:00Z</dcterms:created>
  <dcterms:modified xsi:type="dcterms:W3CDTF">2018-09-12T16:56:00Z</dcterms:modified>
</cp:coreProperties>
</file>